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AE2" w:rsidRPr="00AB76EC" w:rsidRDefault="00B82AE2" w:rsidP="00B82AE2">
      <w:pPr>
        <w:pStyle w:val="Textoindependiente"/>
        <w:rPr>
          <w:b/>
          <w:sz w:val="20"/>
          <w:lang w:val="es-MX"/>
        </w:rPr>
      </w:pPr>
    </w:p>
    <w:p w:rsidR="00B82AE2" w:rsidRPr="00AB76EC" w:rsidRDefault="00B82AE2" w:rsidP="00B82AE2">
      <w:pPr>
        <w:pStyle w:val="Textoindependiente"/>
        <w:jc w:val="center"/>
        <w:rPr>
          <w:b/>
          <w:sz w:val="20"/>
          <w:lang w:val="es-MX"/>
        </w:rPr>
      </w:pPr>
      <w:r w:rsidRPr="00AB76EC">
        <w:rPr>
          <w:b/>
          <w:sz w:val="20"/>
          <w:lang w:val="es-MX"/>
        </w:rPr>
        <w:t>ESPECIFICACION PARTICULAR</w:t>
      </w:r>
    </w:p>
    <w:p w:rsidR="00B82AE2" w:rsidRPr="00AB76EC" w:rsidRDefault="00B82AE2" w:rsidP="00B82AE2">
      <w:pPr>
        <w:rPr>
          <w:rFonts w:ascii="Arial" w:hAnsi="Arial"/>
          <w:b/>
          <w:u w:val="single"/>
          <w:lang w:val="es-MX"/>
        </w:rPr>
      </w:pPr>
    </w:p>
    <w:p w:rsidR="00B82AE2" w:rsidRPr="00AB76EC" w:rsidRDefault="00B82AE2" w:rsidP="00B82AE2">
      <w:pPr>
        <w:rPr>
          <w:rFonts w:ascii="Arial" w:hAnsi="Arial"/>
          <w:b/>
          <w:u w:val="single"/>
          <w:lang w:val="es-MX"/>
        </w:rPr>
      </w:pPr>
    </w:p>
    <w:p w:rsidR="00B82AE2" w:rsidRPr="00AB76EC" w:rsidRDefault="00B82AE2" w:rsidP="00B82AE2">
      <w:pPr>
        <w:jc w:val="both"/>
        <w:rPr>
          <w:rFonts w:ascii="Arial" w:hAnsi="Arial"/>
          <w:b/>
        </w:rPr>
      </w:pPr>
      <w:r w:rsidRPr="00AB76EC">
        <w:rPr>
          <w:rFonts w:ascii="Arial" w:hAnsi="Arial"/>
          <w:b/>
        </w:rPr>
        <w:t xml:space="preserve">E.P.- </w:t>
      </w:r>
      <w:r w:rsidR="00B73F80">
        <w:rPr>
          <w:rFonts w:ascii="Arial" w:hAnsi="Arial"/>
          <w:b/>
        </w:rPr>
        <w:t>371</w:t>
      </w:r>
      <w:r w:rsidRPr="00AB76EC">
        <w:rPr>
          <w:rFonts w:ascii="Arial" w:hAnsi="Arial"/>
          <w:b/>
        </w:rPr>
        <w:t xml:space="preserve"> SUMINISTRO Y COLOCACION DE DRENES DE PLASTICO (PVC) POR UNIDAD DE OBRA TERMINADA SEGÚN PROYECTO Y/O INSTRUCCIONES DE LA DEPENDENCIA.</w:t>
      </w:r>
    </w:p>
    <w:p w:rsidR="00B82AE2" w:rsidRPr="0083781C" w:rsidRDefault="00B82AE2" w:rsidP="00B82AE2">
      <w:pPr>
        <w:rPr>
          <w:rFonts w:ascii="Arial" w:hAnsi="Arial"/>
          <w:sz w:val="22"/>
          <w:szCs w:val="22"/>
        </w:rPr>
      </w:pPr>
    </w:p>
    <w:p w:rsidR="00B82AE2" w:rsidRPr="0083781C" w:rsidRDefault="00B82AE2" w:rsidP="00B82AE2">
      <w:pPr>
        <w:jc w:val="both"/>
        <w:rPr>
          <w:rFonts w:ascii="Arial" w:hAnsi="Arial"/>
          <w:sz w:val="22"/>
          <w:szCs w:val="22"/>
        </w:rPr>
      </w:pPr>
    </w:p>
    <w:p w:rsidR="00B82AE2" w:rsidRDefault="00B82AE2" w:rsidP="00B82AE2">
      <w:pPr>
        <w:tabs>
          <w:tab w:val="left" w:pos="1872"/>
        </w:tabs>
        <w:jc w:val="both"/>
        <w:rPr>
          <w:rFonts w:ascii="Arial" w:hAnsi="Arial"/>
          <w:sz w:val="22"/>
          <w:szCs w:val="22"/>
        </w:rPr>
      </w:pPr>
    </w:p>
    <w:p w:rsidR="00B82AE2" w:rsidRPr="0083781C" w:rsidRDefault="00B82AE2" w:rsidP="00B82AE2">
      <w:pPr>
        <w:tabs>
          <w:tab w:val="left" w:pos="1872"/>
        </w:tabs>
        <w:jc w:val="both"/>
        <w:rPr>
          <w:rFonts w:ascii="Arial" w:hAnsi="Arial"/>
          <w:sz w:val="22"/>
          <w:szCs w:val="22"/>
        </w:rPr>
      </w:pPr>
      <w:r w:rsidRPr="0083781C">
        <w:rPr>
          <w:rFonts w:ascii="Arial" w:hAnsi="Arial"/>
          <w:b/>
          <w:sz w:val="22"/>
          <w:szCs w:val="22"/>
        </w:rPr>
        <w:t>Ejecución.-</w:t>
      </w:r>
      <w:r w:rsidRPr="0083781C">
        <w:rPr>
          <w:rFonts w:ascii="Arial" w:hAnsi="Arial"/>
          <w:sz w:val="22"/>
          <w:szCs w:val="22"/>
        </w:rPr>
        <w:t xml:space="preserve">  Las características de los drenes de tubo de P.V.C. que se utilizarán, el diámetro, así como la longitud, deberán cumplir con lo especificado en los planos correspondientes.</w:t>
      </w:r>
    </w:p>
    <w:p w:rsidR="00B82AE2" w:rsidRDefault="00B82AE2" w:rsidP="00B82AE2">
      <w:pPr>
        <w:tabs>
          <w:tab w:val="left" w:pos="1872"/>
        </w:tabs>
        <w:jc w:val="both"/>
        <w:rPr>
          <w:rFonts w:ascii="Arial" w:hAnsi="Arial"/>
          <w:sz w:val="22"/>
          <w:szCs w:val="22"/>
        </w:rPr>
      </w:pPr>
    </w:p>
    <w:p w:rsidR="00B82AE2" w:rsidRPr="0083781C" w:rsidRDefault="00B82AE2" w:rsidP="00B82AE2">
      <w:pPr>
        <w:tabs>
          <w:tab w:val="left" w:pos="1872"/>
        </w:tabs>
        <w:jc w:val="both"/>
        <w:rPr>
          <w:rFonts w:ascii="Arial" w:hAnsi="Arial"/>
          <w:sz w:val="22"/>
          <w:szCs w:val="22"/>
        </w:rPr>
      </w:pPr>
    </w:p>
    <w:p w:rsidR="00B82AE2" w:rsidRPr="0083781C" w:rsidRDefault="00B82AE2" w:rsidP="00B82AE2">
      <w:pPr>
        <w:tabs>
          <w:tab w:val="left" w:pos="1872"/>
        </w:tabs>
        <w:jc w:val="both"/>
        <w:rPr>
          <w:rFonts w:ascii="Arial" w:hAnsi="Arial"/>
          <w:sz w:val="22"/>
          <w:szCs w:val="22"/>
        </w:rPr>
      </w:pPr>
      <w:r w:rsidRPr="0083781C">
        <w:rPr>
          <w:rFonts w:ascii="Arial" w:hAnsi="Arial"/>
          <w:b/>
          <w:sz w:val="22"/>
          <w:szCs w:val="22"/>
        </w:rPr>
        <w:t>Medición.-</w:t>
      </w:r>
      <w:r w:rsidRPr="0083781C">
        <w:rPr>
          <w:rFonts w:ascii="Arial" w:hAnsi="Arial"/>
          <w:sz w:val="22"/>
          <w:szCs w:val="22"/>
        </w:rPr>
        <w:t xml:space="preserve">  Los drenes de PVC se medirán tomando como unidad la pieza colocada, tomando como base el volu</w:t>
      </w:r>
      <w:bookmarkStart w:id="0" w:name="_GoBack"/>
      <w:bookmarkEnd w:id="0"/>
      <w:r w:rsidRPr="0083781C">
        <w:rPr>
          <w:rFonts w:ascii="Arial" w:hAnsi="Arial"/>
          <w:sz w:val="22"/>
          <w:szCs w:val="22"/>
        </w:rPr>
        <w:t>men que fije el proyecto.</w:t>
      </w:r>
    </w:p>
    <w:p w:rsidR="00B82AE2" w:rsidRDefault="00B82AE2" w:rsidP="00B82AE2">
      <w:pPr>
        <w:tabs>
          <w:tab w:val="left" w:pos="1872"/>
        </w:tabs>
        <w:jc w:val="both"/>
        <w:rPr>
          <w:rFonts w:ascii="Arial" w:hAnsi="Arial"/>
          <w:sz w:val="22"/>
          <w:szCs w:val="22"/>
        </w:rPr>
      </w:pPr>
    </w:p>
    <w:p w:rsidR="00B82AE2" w:rsidRPr="0083781C" w:rsidRDefault="00B82AE2" w:rsidP="00B82AE2">
      <w:pPr>
        <w:tabs>
          <w:tab w:val="left" w:pos="1872"/>
        </w:tabs>
        <w:jc w:val="both"/>
        <w:rPr>
          <w:rFonts w:ascii="Arial" w:hAnsi="Arial"/>
          <w:sz w:val="22"/>
          <w:szCs w:val="22"/>
        </w:rPr>
      </w:pPr>
    </w:p>
    <w:p w:rsidR="00B82AE2" w:rsidRPr="0083781C" w:rsidRDefault="00B82AE2" w:rsidP="00B82AE2">
      <w:pPr>
        <w:tabs>
          <w:tab w:val="left" w:pos="1872"/>
        </w:tabs>
        <w:jc w:val="both"/>
        <w:rPr>
          <w:rFonts w:ascii="Arial" w:hAnsi="Arial"/>
          <w:sz w:val="22"/>
          <w:szCs w:val="22"/>
        </w:rPr>
      </w:pPr>
      <w:r w:rsidRPr="0083781C">
        <w:rPr>
          <w:rFonts w:ascii="Arial" w:hAnsi="Arial"/>
          <w:b/>
          <w:sz w:val="22"/>
          <w:szCs w:val="22"/>
        </w:rPr>
        <w:t>Base de pago.-</w:t>
      </w:r>
      <w:r w:rsidRPr="0083781C">
        <w:rPr>
          <w:rFonts w:ascii="Arial" w:hAnsi="Arial"/>
          <w:sz w:val="22"/>
          <w:szCs w:val="22"/>
        </w:rPr>
        <w:t xml:space="preserve"> El pago por unidad de obra terminada, se hará al precio fijado en el contrato para la pieza colocada. Este precio unitario incluye lo que corresponda por: adquisición de la tubería de PVC, codos, </w:t>
      </w:r>
      <w:proofErr w:type="spellStart"/>
      <w:r w:rsidRPr="0083781C">
        <w:rPr>
          <w:rFonts w:ascii="Arial" w:hAnsi="Arial"/>
          <w:sz w:val="22"/>
          <w:szCs w:val="22"/>
        </w:rPr>
        <w:t>coples</w:t>
      </w:r>
      <w:proofErr w:type="spellEnd"/>
      <w:r w:rsidRPr="0083781C">
        <w:rPr>
          <w:rFonts w:ascii="Arial" w:hAnsi="Arial"/>
          <w:sz w:val="22"/>
          <w:szCs w:val="22"/>
        </w:rPr>
        <w:t xml:space="preserve"> y accesorios, fijaciones con varilla y/o alambre, resinas, transportes hasta la obra, almacenamiento, protección, cortado, habilitado, desperdicios, cargas y descargas y en general todos los materiales, equipo, herramienta y mano de obra necesarios para su habilitación y colocación conforme a lo indicado en el proyecto.</w:t>
      </w:r>
    </w:p>
    <w:p w:rsidR="004F1CF6" w:rsidRDefault="00B73F80"/>
    <w:sectPr w:rsidR="004F1C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AE2"/>
    <w:rsid w:val="00237873"/>
    <w:rsid w:val="005967DC"/>
    <w:rsid w:val="008D5D91"/>
    <w:rsid w:val="00B73F80"/>
    <w:rsid w:val="00B8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CC6A6-B16D-49AA-91B8-A648D271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A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B82AE2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B82AE2"/>
    <w:rPr>
      <w:rFonts w:ascii="Arial" w:eastAsia="Times New Roman" w:hAnsi="Arial" w:cs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Mastache Peña, William</dc:creator>
  <cp:lastModifiedBy>Nogales Avila, Lorenzo</cp:lastModifiedBy>
  <cp:revision>3</cp:revision>
  <dcterms:created xsi:type="dcterms:W3CDTF">2014-05-22T23:20:00Z</dcterms:created>
  <dcterms:modified xsi:type="dcterms:W3CDTF">2014-05-23T01:58:00Z</dcterms:modified>
</cp:coreProperties>
</file>